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Standard"/>
      </w:pPr>
      <w:bookmarkStart w:id="0" w:name="_GoBack"/>
      <w:bookmarkEnd w:id="0"/>
      <w:r>
        <w:rPr>
          <w:noProof/>
          <w:lang w:eastAsia="ja-JP"/>
        </w:rPr>
        <w:drawing>
          <wp:inline distT="0" distB="0" distL="0" distR="0">
            <wp:extent cx="1739900" cy="497205"/>
            <wp:effectExtent l="0" t="0" r="0" b="0"/>
            <wp:docPr id="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
                    <a:srcRect/>
                    <a:stretch>
                      <a:fillRect/>
                    </a:stretch>
                  </pic:blipFill>
                  <pic:spPr bwMode="auto">
                    <a:xfrm>
                      <a:off x="0" y="0"/>
                      <a:ext cx="1739900" cy="497205"/>
                    </a:xfrm>
                    <a:prstGeom prst="rect">
                      <a:avLst/>
                    </a:prstGeom>
                    <a:noFill/>
                    <a:ln w="9525">
                      <a:noFill/>
                      <a:miter lim="800000"/>
                      <a:headEnd/>
                      <a:tailEnd/>
                    </a:ln>
                  </pic:spPr>
                </pic:pic>
              </a:graphicData>
            </a:graphic>
          </wp:inline>
        </w:drawing>
      </w:r>
    </w:p>
    <w:p>
      <w:pPr>
        <w:pStyle w:val="Standard"/>
        <w:jc w:val="center"/>
      </w:pPr>
      <w:r>
        <w:rPr>
          <w:rFonts w:ascii="Cambria" w:hAnsi="Cambria"/>
          <w:b/>
          <w:bCs/>
          <w:i/>
          <w:iCs/>
          <w:color w:val="DC2300"/>
          <w:sz w:val="26"/>
          <w:szCs w:val="26"/>
          <w:u w:val="single"/>
        </w:rPr>
        <w:t>LA VISITE DE LA BIBLIOTHEQUE DES ARTS DECORATIFS</w:t>
      </w:r>
    </w:p>
    <w:p>
      <w:pPr>
        <w:pStyle w:val="Standard"/>
        <w:jc w:val="center"/>
      </w:pPr>
      <w:r>
        <w:rPr>
          <w:sz w:val="24"/>
          <w:szCs w:val="24"/>
        </w:rPr>
        <w:t>Visite du 13 août 2014</w:t>
      </w:r>
    </w:p>
    <w:p>
      <w:pPr>
        <w:pStyle w:val="Standard"/>
        <w:jc w:val="center"/>
      </w:pPr>
      <w:r>
        <w:rPr>
          <w:noProof/>
          <w:lang w:eastAsia="ja-JP"/>
        </w:rPr>
        <w:drawing>
          <wp:anchor distT="0" distB="0" distL="0" distR="0" simplePos="0" relativeHeight="251658240" behindDoc="0" locked="0" layoutInCell="1" allowOverlap="1">
            <wp:simplePos x="0" y="0"/>
            <wp:positionH relativeFrom="column">
              <wp:posOffset>1583690</wp:posOffset>
            </wp:positionH>
            <wp:positionV relativeFrom="paragraph">
              <wp:posOffset>-66040</wp:posOffset>
            </wp:positionV>
            <wp:extent cx="2699385" cy="1671955"/>
            <wp:effectExtent l="0" t="0" r="0" b="0"/>
            <wp:wrapSquare wrapText="largest"/>
            <wp:docPr id="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
                    <a:srcRect/>
                    <a:stretch>
                      <a:fillRect/>
                    </a:stretch>
                  </pic:blipFill>
                  <pic:spPr bwMode="auto">
                    <a:xfrm>
                      <a:off x="0" y="0"/>
                      <a:ext cx="2699385" cy="1671955"/>
                    </a:xfrm>
                    <a:prstGeom prst="rect">
                      <a:avLst/>
                    </a:prstGeom>
                    <a:noFill/>
                    <a:ln w="9525">
                      <a:noFill/>
                      <a:miter lim="800000"/>
                      <a:headEnd/>
                      <a:tailEnd/>
                    </a:ln>
                  </pic:spPr>
                </pic:pic>
              </a:graphicData>
            </a:graphic>
          </wp:anchor>
        </w:drawing>
      </w:r>
    </w:p>
    <w:p>
      <w:pPr>
        <w:pStyle w:val="Standard"/>
        <w:jc w:val="both"/>
      </w:pPr>
    </w:p>
    <w:p>
      <w:pPr>
        <w:pStyle w:val="Standard"/>
        <w:jc w:val="both"/>
      </w:pPr>
    </w:p>
    <w:p>
      <w:pPr>
        <w:pStyle w:val="Standard"/>
        <w:jc w:val="both"/>
      </w:pPr>
    </w:p>
    <w:p>
      <w:pPr>
        <w:pStyle w:val="Standard"/>
        <w:jc w:val="both"/>
      </w:pPr>
    </w:p>
    <w:p>
      <w:pPr>
        <w:pStyle w:val="Standard"/>
        <w:jc w:val="both"/>
      </w:pPr>
    </w:p>
    <w:p>
      <w:pPr>
        <w:pStyle w:val="Standard"/>
        <w:jc w:val="both"/>
      </w:pPr>
      <w:r>
        <w:rPr>
          <w:rFonts w:eastAsia="Times New Roman" w:cs="Times New Roman"/>
          <w:sz w:val="21"/>
          <w:szCs w:val="21"/>
          <w:lang w:eastAsia="fr-FR"/>
        </w:rPr>
        <w:tab/>
      </w:r>
      <w:r>
        <w:rPr>
          <w:rFonts w:eastAsia="Times New Roman" w:cs="Times New Roman"/>
          <w:sz w:val="21"/>
          <w:szCs w:val="21"/>
          <w:lang w:eastAsia="fr-FR"/>
        </w:rPr>
        <w:tab/>
      </w:r>
      <w:r>
        <w:rPr>
          <w:rFonts w:eastAsia="Times New Roman" w:cs="Times New Roman"/>
          <w:sz w:val="21"/>
          <w:szCs w:val="21"/>
          <w:lang w:eastAsia="fr-FR"/>
        </w:rPr>
        <w:tab/>
        <w:t xml:space="preserve">Faciliter l’étude et aider au progrès de toutes les industries qui relèvent de l’art, telles sont les aspirations de l’Union Centrale des arts décoratifs quand en 1864 elle ouvre un musée et une bibliothèque d’abord place des Vosges puis 40 ans plus tard au Pavillon de </w:t>
      </w:r>
      <w:proofErr w:type="gramStart"/>
      <w:r>
        <w:rPr>
          <w:rFonts w:eastAsia="Times New Roman" w:cs="Times New Roman"/>
          <w:sz w:val="21"/>
          <w:szCs w:val="21"/>
          <w:lang w:eastAsia="fr-FR"/>
        </w:rPr>
        <w:t>Marsan .</w:t>
      </w:r>
      <w:proofErr w:type="gramEnd"/>
    </w:p>
    <w:p>
      <w:pPr>
        <w:pStyle w:val="Standard"/>
        <w:spacing w:after="0" w:line="100" w:lineRule="atLeast"/>
        <w:jc w:val="both"/>
      </w:pPr>
      <w:r>
        <w:rPr>
          <w:rFonts w:eastAsia="Times New Roman" w:cs="Times New Roman"/>
          <w:sz w:val="21"/>
          <w:szCs w:val="21"/>
          <w:lang w:eastAsia="fr-FR"/>
        </w:rPr>
        <w:t>Depuis sa création la Bibliothèque, partie intégrante des Arts décoratifs, régis par une convention de service public avec l’Etat</w:t>
      </w:r>
      <w:r>
        <w:rPr>
          <w:rFonts w:eastAsia="Times New Roman" w:cs="Times New Roman"/>
          <w:sz w:val="21"/>
          <w:szCs w:val="21"/>
          <w:u w:val="single"/>
          <w:lang w:eastAsia="fr-FR"/>
        </w:rPr>
        <w:t xml:space="preserve"> </w:t>
      </w:r>
      <w:r>
        <w:rPr>
          <w:rFonts w:eastAsia="Times New Roman" w:cs="Times New Roman"/>
          <w:sz w:val="21"/>
          <w:szCs w:val="21"/>
          <w:lang w:eastAsia="fr-FR"/>
        </w:rPr>
        <w:t>et dont les collections sont nationales, n’a cessé de poursuivre cette mission de mise à disposition de ses ressources au plus grand nombre dans les domaines des arts décoratifs, des arts graphiques, de l’architecture, du design et de la mode.</w:t>
      </w:r>
    </w:p>
    <w:p>
      <w:pPr>
        <w:pStyle w:val="Standard"/>
        <w:spacing w:after="0" w:line="100" w:lineRule="atLeast"/>
        <w:jc w:val="both"/>
      </w:pPr>
    </w:p>
    <w:p>
      <w:pPr>
        <w:pStyle w:val="Standard"/>
        <w:spacing w:after="0" w:line="100" w:lineRule="atLeast"/>
        <w:jc w:val="both"/>
      </w:pPr>
      <w:r>
        <w:rPr>
          <w:rFonts w:eastAsia="Times New Roman" w:cs="Times New Roman"/>
          <w:sz w:val="21"/>
          <w:szCs w:val="21"/>
          <w:shd w:val="clear" w:color="auto" w:fill="FFFFFF"/>
          <w:lang w:eastAsia="fr-FR"/>
        </w:rPr>
        <w:t>La bibliothèque est actuellement riche de plus de 200.000 volumes imprimés, 3000 périodiques, d’un fonds d’environ 10 000 de photographies, et de milliers d’</w:t>
      </w:r>
      <w:proofErr w:type="spellStart"/>
      <w:r>
        <w:rPr>
          <w:rFonts w:eastAsia="Times New Roman" w:cs="Times New Roman"/>
          <w:sz w:val="21"/>
          <w:szCs w:val="21"/>
          <w:shd w:val="clear" w:color="auto" w:fill="FFFFFF"/>
          <w:lang w:eastAsia="fr-FR"/>
        </w:rPr>
        <w:t>ephémères</w:t>
      </w:r>
      <w:proofErr w:type="spellEnd"/>
      <w:r>
        <w:rPr>
          <w:rFonts w:eastAsia="Times New Roman" w:cs="Times New Roman"/>
          <w:sz w:val="21"/>
          <w:szCs w:val="21"/>
          <w:shd w:val="clear" w:color="auto" w:fill="FFFFFF"/>
          <w:lang w:eastAsia="fr-FR"/>
        </w:rPr>
        <w:t xml:space="preserve"> (cartes postales, étiquettes, buvards publicitaires, dépliants commerciaux et publicitaires).</w:t>
      </w:r>
    </w:p>
    <w:p>
      <w:pPr>
        <w:pStyle w:val="Standard"/>
        <w:spacing w:after="0" w:line="100" w:lineRule="atLeast"/>
        <w:jc w:val="both"/>
      </w:pPr>
      <w:r>
        <w:rPr>
          <w:rFonts w:eastAsia="Times New Roman" w:cs="Times New Roman"/>
          <w:sz w:val="21"/>
          <w:szCs w:val="21"/>
          <w:lang w:eastAsia="fr-FR"/>
        </w:rPr>
        <w:t xml:space="preserve">Tous ces documents sont en accès indirect à l’exception d’une collection iconographique, appelée Collection </w:t>
      </w:r>
      <w:proofErr w:type="spellStart"/>
      <w:r>
        <w:rPr>
          <w:rFonts w:eastAsia="Times New Roman" w:cs="Times New Roman"/>
          <w:sz w:val="21"/>
          <w:szCs w:val="21"/>
          <w:lang w:eastAsia="fr-FR"/>
        </w:rPr>
        <w:t>Maciet</w:t>
      </w:r>
      <w:proofErr w:type="spellEnd"/>
      <w:r>
        <w:rPr>
          <w:rFonts w:eastAsia="Times New Roman" w:cs="Times New Roman"/>
          <w:sz w:val="21"/>
          <w:szCs w:val="21"/>
          <w:lang w:eastAsia="fr-FR"/>
        </w:rPr>
        <w:t>, du nom de son créateur,  estimée à 1 million d’images et qui constitue le fleuron, sinon l’identité de la bibliothèque.</w:t>
      </w:r>
    </w:p>
    <w:p>
      <w:pPr>
        <w:pStyle w:val="Standard"/>
        <w:spacing w:after="0" w:line="100" w:lineRule="atLeast"/>
        <w:jc w:val="both"/>
      </w:pPr>
    </w:p>
    <w:p>
      <w:pPr>
        <w:pStyle w:val="Standard"/>
        <w:keepNext/>
        <w:spacing w:after="0" w:line="100" w:lineRule="atLeast"/>
        <w:jc w:val="both"/>
      </w:pPr>
      <w:r>
        <w:rPr>
          <w:rFonts w:eastAsia="Times New Roman" w:cs="Times New Roman"/>
          <w:b/>
          <w:bCs/>
          <w:i/>
          <w:iCs/>
          <w:color w:val="DC2300"/>
          <w:sz w:val="21"/>
          <w:szCs w:val="21"/>
          <w:u w:val="single"/>
          <w:lang w:eastAsia="fr-FR"/>
        </w:rPr>
        <w:t xml:space="preserve">Une  collection iconographique unique </w:t>
      </w:r>
    </w:p>
    <w:p>
      <w:pPr>
        <w:pStyle w:val="Standard"/>
        <w:spacing w:after="0" w:line="100" w:lineRule="atLeast"/>
        <w:jc w:val="both"/>
      </w:pPr>
    </w:p>
    <w:p>
      <w:pPr>
        <w:pStyle w:val="Standard"/>
        <w:spacing w:after="0" w:line="100" w:lineRule="atLeast"/>
        <w:jc w:val="both"/>
      </w:pPr>
      <w:r>
        <w:rPr>
          <w:rFonts w:eastAsia="Times New Roman" w:cs="Times New Roman"/>
          <w:sz w:val="21"/>
          <w:szCs w:val="21"/>
          <w:lang w:eastAsia="fr-FR"/>
        </w:rPr>
        <w:t xml:space="preserve">La collection iconographique est l’œuvre d’un homme, Jules </w:t>
      </w:r>
      <w:proofErr w:type="spellStart"/>
      <w:r>
        <w:rPr>
          <w:rFonts w:eastAsia="Times New Roman" w:cs="Times New Roman"/>
          <w:sz w:val="21"/>
          <w:szCs w:val="21"/>
          <w:lang w:eastAsia="fr-FR"/>
        </w:rPr>
        <w:t>Maciet</w:t>
      </w:r>
      <w:proofErr w:type="spellEnd"/>
      <w:r>
        <w:rPr>
          <w:rFonts w:eastAsia="Times New Roman" w:cs="Times New Roman"/>
          <w:sz w:val="21"/>
          <w:szCs w:val="21"/>
          <w:lang w:eastAsia="fr-FR"/>
        </w:rPr>
        <w:t xml:space="preserve"> (1846-1911). Ce grand amateur d’art et mécène est conscient qu’en matière de connaissance artistique l’image est irremplaçable. Il conçoit cette collection pour répondre à un besoin pratique : offrir aux artistes et artisans un immense répertoire de formes et d’ornements de l’Antiquité à nos jours représentant toutes les </w:t>
      </w:r>
      <w:proofErr w:type="spellStart"/>
      <w:r>
        <w:rPr>
          <w:rFonts w:eastAsia="Times New Roman" w:cs="Times New Roman"/>
          <w:sz w:val="21"/>
          <w:szCs w:val="21"/>
          <w:lang w:eastAsia="fr-FR"/>
        </w:rPr>
        <w:t>ères</w:t>
      </w:r>
      <w:proofErr w:type="spellEnd"/>
      <w:r>
        <w:rPr>
          <w:rFonts w:eastAsia="Times New Roman" w:cs="Times New Roman"/>
          <w:sz w:val="21"/>
          <w:szCs w:val="21"/>
          <w:lang w:eastAsia="fr-FR"/>
        </w:rPr>
        <w:t xml:space="preserve"> culturelles</w:t>
      </w:r>
      <w:proofErr w:type="gramStart"/>
      <w:r>
        <w:rPr>
          <w:rFonts w:eastAsia="Times New Roman" w:cs="Times New Roman"/>
          <w:sz w:val="21"/>
          <w:szCs w:val="21"/>
          <w:lang w:eastAsia="fr-FR"/>
        </w:rPr>
        <w:t>..</w:t>
      </w:r>
      <w:proofErr w:type="gramEnd"/>
    </w:p>
    <w:p>
      <w:pPr>
        <w:pStyle w:val="Standard"/>
        <w:spacing w:after="0" w:line="100" w:lineRule="atLeast"/>
        <w:jc w:val="both"/>
      </w:pPr>
      <w:r>
        <w:rPr>
          <w:rFonts w:eastAsia="Times New Roman" w:cs="Times New Roman"/>
          <w:sz w:val="21"/>
          <w:szCs w:val="21"/>
          <w:lang w:eastAsia="fr-FR"/>
        </w:rPr>
        <w:t xml:space="preserve">Source d’inspiration pour la création, la collection </w:t>
      </w:r>
      <w:proofErr w:type="spellStart"/>
      <w:r>
        <w:rPr>
          <w:rFonts w:eastAsia="Times New Roman" w:cs="Times New Roman"/>
          <w:sz w:val="21"/>
          <w:szCs w:val="21"/>
          <w:lang w:eastAsia="fr-FR"/>
        </w:rPr>
        <w:t>Maciet</w:t>
      </w:r>
      <w:proofErr w:type="spellEnd"/>
      <w:r>
        <w:rPr>
          <w:rFonts w:eastAsia="Times New Roman" w:cs="Times New Roman"/>
          <w:sz w:val="21"/>
          <w:szCs w:val="21"/>
          <w:lang w:eastAsia="fr-FR"/>
        </w:rPr>
        <w:t xml:space="preserve"> reflète la volonté de couvrir tout le savoir-faire du monde européen, mais aussi des autres parties du monde, notamment la Chine et le Japon.</w:t>
      </w:r>
      <w:r>
        <w:rPr>
          <w:rFonts w:eastAsia="Arial Unicode MS" w:cs="Arial Unicode MS"/>
          <w:sz w:val="21"/>
          <w:szCs w:val="21"/>
          <w:lang w:eastAsia="fr-FR"/>
        </w:rPr>
        <w:t xml:space="preserve"> </w:t>
      </w:r>
    </w:p>
    <w:p>
      <w:pPr>
        <w:pStyle w:val="Standard"/>
        <w:spacing w:after="0" w:line="100" w:lineRule="atLeast"/>
        <w:jc w:val="both"/>
      </w:pPr>
    </w:p>
    <w:p>
      <w:pPr>
        <w:pStyle w:val="Standard"/>
        <w:spacing w:after="0" w:line="100" w:lineRule="atLeast"/>
        <w:jc w:val="both"/>
      </w:pPr>
      <w:r>
        <w:rPr>
          <w:rFonts w:eastAsia="Times New Roman" w:cs="Times New Roman"/>
          <w:sz w:val="21"/>
          <w:szCs w:val="21"/>
          <w:lang w:eastAsia="fr-FR"/>
        </w:rPr>
        <w:t xml:space="preserve">Ainsi, de 1885 à 1911, date de sa mort,  Jules </w:t>
      </w:r>
      <w:proofErr w:type="spellStart"/>
      <w:r>
        <w:rPr>
          <w:rFonts w:eastAsia="Times New Roman" w:cs="Times New Roman"/>
          <w:sz w:val="21"/>
          <w:szCs w:val="21"/>
          <w:lang w:eastAsia="fr-FR"/>
        </w:rPr>
        <w:t>Maciet</w:t>
      </w:r>
      <w:proofErr w:type="spellEnd"/>
      <w:r>
        <w:rPr>
          <w:rFonts w:eastAsia="Times New Roman" w:cs="Times New Roman"/>
          <w:sz w:val="21"/>
          <w:szCs w:val="21"/>
          <w:lang w:eastAsia="fr-FR"/>
        </w:rPr>
        <w:t xml:space="preserve"> devient « chasseur d’images » et réunit des milliers de gravures, photographies, mais aussi des documents de toutes provenances tirés de catalogues, livres et revues. Il les découpe, les trie et les colle dans de grands albums et imagine une classification méthodique dans l’esprit encyclopédique du 19</w:t>
      </w:r>
      <w:r>
        <w:rPr>
          <w:rFonts w:eastAsia="Times New Roman" w:cs="Times New Roman"/>
          <w:sz w:val="21"/>
          <w:szCs w:val="21"/>
          <w:vertAlign w:val="superscript"/>
          <w:lang w:eastAsia="fr-FR"/>
        </w:rPr>
        <w:t>e</w:t>
      </w:r>
      <w:r>
        <w:rPr>
          <w:rFonts w:eastAsia="Times New Roman" w:cs="Times New Roman"/>
          <w:sz w:val="21"/>
          <w:szCs w:val="21"/>
          <w:lang w:eastAsia="fr-FR"/>
        </w:rPr>
        <w:t xml:space="preserve"> siècle.</w:t>
      </w:r>
    </w:p>
    <w:p>
      <w:pPr>
        <w:pStyle w:val="Standard"/>
        <w:spacing w:after="0" w:line="100" w:lineRule="atLeast"/>
        <w:jc w:val="both"/>
      </w:pPr>
      <w:r>
        <w:rPr>
          <w:rFonts w:eastAsia="Times New Roman" w:cs="Times New Roman"/>
          <w:sz w:val="21"/>
          <w:szCs w:val="21"/>
          <w:lang w:eastAsia="fr-FR"/>
        </w:rPr>
        <w:lastRenderedPageBreak/>
        <w:t>Après sa mort et jusqu’en 1996, les conservateurs de la bibliothèque ont poursuivi son œuvre et continué à alimenter certaines séries : Mode, Ecriture et imprimerie, Mobilier, Orfèvrerie…</w:t>
      </w:r>
    </w:p>
    <w:p>
      <w:pPr>
        <w:pStyle w:val="Standard"/>
        <w:spacing w:after="0" w:line="100" w:lineRule="atLeast"/>
        <w:jc w:val="both"/>
      </w:pPr>
      <w:r>
        <w:rPr>
          <w:rFonts w:eastAsia="Times New Roman" w:cs="Times New Roman"/>
          <w:sz w:val="21"/>
          <w:szCs w:val="21"/>
          <w:lang w:eastAsia="fr-FR"/>
        </w:rPr>
        <w:t>Grâce à plusieurs campagnes de numérisation, actuellement plus de 250 000 images de la collection sont en ligne.</w:t>
      </w:r>
    </w:p>
    <w:p>
      <w:pPr>
        <w:pStyle w:val="Standard"/>
        <w:spacing w:after="0" w:line="100" w:lineRule="atLeast"/>
        <w:jc w:val="both"/>
      </w:pPr>
    </w:p>
    <w:p>
      <w:pPr>
        <w:pStyle w:val="Standard"/>
        <w:spacing w:after="0"/>
        <w:jc w:val="both"/>
      </w:pPr>
      <w:r>
        <w:rPr>
          <w:rFonts w:eastAsia="Times New Roman" w:cs="Times New Roman"/>
          <w:b/>
          <w:i/>
          <w:iCs/>
          <w:color w:val="DC2300"/>
          <w:sz w:val="21"/>
          <w:szCs w:val="21"/>
          <w:u w:val="single"/>
          <w:lang w:eastAsia="fr-FR"/>
        </w:rPr>
        <w:t xml:space="preserve">Extension du domaine </w:t>
      </w:r>
      <w:proofErr w:type="spellStart"/>
      <w:r>
        <w:rPr>
          <w:rFonts w:eastAsia="Times New Roman" w:cs="Times New Roman"/>
          <w:b/>
          <w:i/>
          <w:iCs/>
          <w:color w:val="DC2300"/>
          <w:sz w:val="21"/>
          <w:szCs w:val="21"/>
          <w:u w:val="single"/>
          <w:lang w:eastAsia="fr-FR"/>
        </w:rPr>
        <w:t>Maciet</w:t>
      </w:r>
      <w:proofErr w:type="spellEnd"/>
      <w:r>
        <w:rPr>
          <w:rFonts w:eastAsia="Times New Roman" w:cs="Times New Roman"/>
          <w:b/>
          <w:i/>
          <w:iCs/>
          <w:color w:val="DC2300"/>
          <w:sz w:val="21"/>
          <w:szCs w:val="21"/>
          <w:u w:val="single"/>
          <w:lang w:eastAsia="fr-FR"/>
        </w:rPr>
        <w:t> : la mise en place d’un dispositif de contribution</w:t>
      </w:r>
    </w:p>
    <w:p>
      <w:pPr>
        <w:pStyle w:val="Standard"/>
        <w:spacing w:after="0"/>
        <w:jc w:val="both"/>
      </w:pPr>
    </w:p>
    <w:p>
      <w:pPr>
        <w:pStyle w:val="Standard"/>
        <w:spacing w:after="0"/>
        <w:jc w:val="both"/>
      </w:pPr>
      <w:r>
        <w:rPr>
          <w:sz w:val="21"/>
          <w:szCs w:val="21"/>
        </w:rPr>
        <w:t>Il s’agit pour la Bibliothèque des Arts Décoratifs de renouer avec sa mission initiale : collecter, transmettre, partage</w:t>
      </w:r>
      <w:proofErr w:type="gramStart"/>
      <w:r>
        <w:rPr>
          <w:sz w:val="21"/>
          <w:szCs w:val="21"/>
        </w:rPr>
        <w:t>..</w:t>
      </w:r>
      <w:proofErr w:type="gramEnd"/>
    </w:p>
    <w:p>
      <w:pPr>
        <w:pStyle w:val="Standard"/>
        <w:spacing w:after="0"/>
        <w:jc w:val="both"/>
      </w:pPr>
      <w:r>
        <w:t>L</w:t>
      </w:r>
      <w:r>
        <w:rPr>
          <w:sz w:val="21"/>
          <w:szCs w:val="21"/>
        </w:rPr>
        <w:t>a Bibliothèque des Arts Décoratifs fait appel au public pour contribuer à la valorisation de ce riche patrimoine iconographique  afin d’étendre et de multiplier les accès possibles à cette collection.</w:t>
      </w:r>
    </w:p>
    <w:p>
      <w:pPr>
        <w:pStyle w:val="Standard"/>
        <w:jc w:val="both"/>
      </w:pPr>
      <w:r>
        <w:rPr>
          <w:sz w:val="21"/>
          <w:szCs w:val="21"/>
        </w:rPr>
        <w:t>L’objectif de cette fonctionnalité est de permettre à des publics – anonymes ou identifiés par un profil de consultation – de proposer des éléments d’indexation des documents. Ce dispositif permet de constituer un corpus descriptif alimenté en continu, en complément de l’indexation initiale présente dans la base de données, sans nécessiter d’intervention lourde de la part des professionnels. Ce corpus offre un accès supplémentaire aux données et enrichit les notices par des titres, commentaires ou documents complémentaires.</w:t>
      </w:r>
    </w:p>
    <w:p>
      <w:pPr>
        <w:pStyle w:val="Standard"/>
        <w:jc w:val="both"/>
      </w:pPr>
      <w:r>
        <w:rPr>
          <w:sz w:val="21"/>
          <w:szCs w:val="21"/>
        </w:rPr>
        <w:t xml:space="preserve">Les contributions seront enrichies d’un wiki qui permettra d’animer la collectivité des contributeurs en leur fournissant un lieu d’échange et de dialogue public. Ils pourront utiliser la page Wiki pour ajouter aux notices des éléments multimédias (films, photos, sons, liens…). </w:t>
      </w:r>
    </w:p>
    <w:p>
      <w:pPr>
        <w:pStyle w:val="Standard"/>
        <w:jc w:val="right"/>
      </w:pPr>
      <w:r>
        <w:rPr>
          <w:i/>
          <w:iCs/>
          <w:sz w:val="21"/>
          <w:szCs w:val="21"/>
        </w:rPr>
        <w:t xml:space="preserve">Ce projet est soutenu par la Fondation </w:t>
      </w:r>
      <w:proofErr w:type="spellStart"/>
      <w:r>
        <w:rPr>
          <w:i/>
          <w:iCs/>
          <w:sz w:val="21"/>
          <w:szCs w:val="21"/>
        </w:rPr>
        <w:t>Bettencourt</w:t>
      </w:r>
      <w:proofErr w:type="spellEnd"/>
      <w:r>
        <w:rPr>
          <w:i/>
          <w:iCs/>
          <w:sz w:val="21"/>
          <w:szCs w:val="21"/>
        </w:rPr>
        <w:t xml:space="preserve"> </w:t>
      </w:r>
      <w:proofErr w:type="spellStart"/>
      <w:r>
        <w:rPr>
          <w:i/>
          <w:iCs/>
          <w:sz w:val="21"/>
          <w:szCs w:val="21"/>
        </w:rPr>
        <w:t>Schueller</w:t>
      </w:r>
      <w:proofErr w:type="spellEnd"/>
      <w:r>
        <w:rPr>
          <w:i/>
          <w:iCs/>
          <w:sz w:val="21"/>
          <w:szCs w:val="21"/>
        </w:rPr>
        <w:t xml:space="preserve">  </w:t>
      </w:r>
      <w:r>
        <w:rPr>
          <w:i/>
          <w:iCs/>
          <w:noProof/>
          <w:sz w:val="21"/>
          <w:szCs w:val="21"/>
          <w:lang w:eastAsia="ja-JP"/>
        </w:rPr>
        <w:drawing>
          <wp:inline distT="0" distB="0" distL="0" distR="0">
            <wp:extent cx="859790" cy="421640"/>
            <wp:effectExtent l="0" t="0" r="0" b="0"/>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
                    <a:srcRect/>
                    <a:stretch>
                      <a:fillRect/>
                    </a:stretch>
                  </pic:blipFill>
                  <pic:spPr bwMode="auto">
                    <a:xfrm>
                      <a:off x="0" y="0"/>
                      <a:ext cx="859790" cy="421640"/>
                    </a:xfrm>
                    <a:prstGeom prst="rect">
                      <a:avLst/>
                    </a:prstGeom>
                    <a:noFill/>
                    <a:ln w="9525">
                      <a:noFill/>
                      <a:miter lim="800000"/>
                      <a:headEnd/>
                      <a:tailEnd/>
                    </a:ln>
                  </pic:spPr>
                </pic:pic>
              </a:graphicData>
            </a:graphic>
          </wp:inline>
        </w:drawing>
      </w:r>
      <w:r>
        <w:rPr>
          <w:i/>
          <w:iCs/>
          <w:sz w:val="21"/>
          <w:szCs w:val="21"/>
        </w:rPr>
        <w:t xml:space="preserve">        </w:t>
      </w:r>
      <w:r>
        <w:rPr>
          <w:sz w:val="21"/>
          <w:szCs w:val="21"/>
        </w:rPr>
        <w:t xml:space="preserve">           </w:t>
      </w:r>
    </w:p>
    <w:p>
      <w:pPr>
        <w:pStyle w:val="Standard"/>
        <w:spacing w:after="0"/>
        <w:jc w:val="both"/>
      </w:pPr>
    </w:p>
    <w:p>
      <w:pPr>
        <w:pStyle w:val="Standard"/>
      </w:pPr>
      <w:r>
        <w:rPr>
          <w:sz w:val="18"/>
          <w:szCs w:val="18"/>
        </w:rPr>
        <w:t>.</w:t>
      </w:r>
    </w:p>
    <w:p>
      <w:pPr>
        <w:pStyle w:val="Standard"/>
        <w:spacing w:after="0" w:line="100" w:lineRule="atLeast"/>
        <w:jc w:val="center"/>
      </w:pPr>
      <w:r>
        <w:t>_____________________________________________</w:t>
      </w:r>
    </w:p>
    <w:p>
      <w:pPr>
        <w:pStyle w:val="Standard"/>
        <w:jc w:val="center"/>
      </w:pPr>
      <w:r>
        <w:rPr>
          <w:noProof/>
          <w:lang w:eastAsia="ja-JP"/>
        </w:rPr>
        <w:drawing>
          <wp:inline distT="0" distB="0" distL="0" distR="0">
            <wp:extent cx="1739900" cy="497205"/>
            <wp:effectExtent l="0" t="0" r="0" b="0"/>
            <wp:docPr id="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
                    <a:srcRect/>
                    <a:stretch>
                      <a:fillRect/>
                    </a:stretch>
                  </pic:blipFill>
                  <pic:spPr bwMode="auto">
                    <a:xfrm>
                      <a:off x="0" y="0"/>
                      <a:ext cx="1739900" cy="497205"/>
                    </a:xfrm>
                    <a:prstGeom prst="rect">
                      <a:avLst/>
                    </a:prstGeom>
                    <a:noFill/>
                    <a:ln w="9525">
                      <a:noFill/>
                      <a:miter lim="800000"/>
                      <a:headEnd/>
                      <a:tailEnd/>
                    </a:ln>
                  </pic:spPr>
                </pic:pic>
              </a:graphicData>
            </a:graphic>
          </wp:inline>
        </w:drawing>
      </w:r>
    </w:p>
    <w:p>
      <w:pPr>
        <w:pStyle w:val="Standard"/>
        <w:jc w:val="center"/>
        <w:rPr>
          <w:lang w:val="en-US"/>
        </w:rPr>
      </w:pPr>
      <w:proofErr w:type="gramStart"/>
      <w:r>
        <w:rPr>
          <w:rFonts w:ascii="Cambria" w:hAnsi="Cambria"/>
          <w:b/>
          <w:bCs/>
          <w:i/>
          <w:iCs/>
          <w:color w:val="DC2300"/>
          <w:sz w:val="26"/>
          <w:szCs w:val="26"/>
          <w:u w:val="single"/>
          <w:lang w:val="en-US"/>
        </w:rPr>
        <w:t>THE  Libray</w:t>
      </w:r>
      <w:proofErr w:type="gramEnd"/>
      <w:r>
        <w:rPr>
          <w:rFonts w:ascii="Cambria" w:hAnsi="Cambria"/>
          <w:b/>
          <w:bCs/>
          <w:i/>
          <w:iCs/>
          <w:color w:val="DC2300"/>
          <w:sz w:val="26"/>
          <w:szCs w:val="26"/>
          <w:u w:val="single"/>
          <w:lang w:val="en-US"/>
        </w:rPr>
        <w:t xml:space="preserve"> of ARTS DECORATIFS MUSEUM</w:t>
      </w:r>
    </w:p>
    <w:p>
      <w:pPr>
        <w:pStyle w:val="Standard"/>
        <w:rPr>
          <w:lang w:val="en-US"/>
        </w:rPr>
      </w:pPr>
      <w:bookmarkStart w:id="1" w:name="result_box"/>
      <w:bookmarkEnd w:id="1"/>
      <w:r>
        <w:rPr>
          <w:i/>
          <w:iCs/>
          <w:sz w:val="21"/>
          <w:szCs w:val="21"/>
          <w:lang w:val="en-US"/>
        </w:rPr>
        <w:t>Facilitate the study and assist the progress of all industries covered by the art, such are the aspirations of the Central Union of Decorative Arts in 1864 when it has been decided to open a museum and library on “place des Vosges”(Paris,4</w:t>
      </w:r>
      <w:r>
        <w:rPr>
          <w:i/>
          <w:iCs/>
          <w:sz w:val="21"/>
          <w:szCs w:val="21"/>
          <w:vertAlign w:val="superscript"/>
          <w:lang w:val="en-US"/>
        </w:rPr>
        <w:t>th</w:t>
      </w:r>
      <w:r>
        <w:rPr>
          <w:i/>
          <w:iCs/>
          <w:sz w:val="21"/>
          <w:szCs w:val="21"/>
          <w:lang w:val="en-US"/>
        </w:rPr>
        <w:t xml:space="preserve"> district) and 40 years later at the Pavillon de Marsan. </w:t>
      </w:r>
      <w:r>
        <w:rPr>
          <w:i/>
          <w:iCs/>
          <w:sz w:val="21"/>
          <w:szCs w:val="21"/>
          <w:lang w:val="en-US"/>
        </w:rPr>
        <w:br/>
      </w:r>
      <w:proofErr w:type="gramStart"/>
      <w:r>
        <w:rPr>
          <w:i/>
          <w:iCs/>
          <w:sz w:val="21"/>
          <w:szCs w:val="21"/>
          <w:lang w:val="en-US"/>
        </w:rPr>
        <w:t>the</w:t>
      </w:r>
      <w:proofErr w:type="gramEnd"/>
      <w:r>
        <w:rPr>
          <w:i/>
          <w:iCs/>
          <w:sz w:val="21"/>
          <w:szCs w:val="21"/>
          <w:lang w:val="en-US"/>
        </w:rPr>
        <w:t xml:space="preserve"> Library ,since its creation, part of Decorative Arts, managed by a public service agreement with the French Goverment and for the national collections, has always continued to pursue the mission of providing resources in the fields of decorative arts, graphic arts, architecture, design and fashion, to publics, students , artists and all users. </w:t>
      </w:r>
      <w:r>
        <w:rPr>
          <w:i/>
          <w:iCs/>
          <w:sz w:val="21"/>
          <w:szCs w:val="21"/>
          <w:lang w:val="en-US"/>
        </w:rPr>
        <w:br/>
      </w:r>
      <w:r>
        <w:rPr>
          <w:i/>
          <w:iCs/>
          <w:sz w:val="21"/>
          <w:szCs w:val="21"/>
          <w:lang w:val="en-US"/>
        </w:rPr>
        <w:br/>
        <w:t xml:space="preserve">The library </w:t>
      </w:r>
      <w:proofErr w:type="gramStart"/>
      <w:r>
        <w:rPr>
          <w:i/>
          <w:iCs/>
          <w:sz w:val="21"/>
          <w:szCs w:val="21"/>
          <w:lang w:val="en-US"/>
        </w:rPr>
        <w:t>collections  contain</w:t>
      </w:r>
      <w:proofErr w:type="gramEnd"/>
      <w:r>
        <w:rPr>
          <w:i/>
          <w:iCs/>
          <w:sz w:val="21"/>
          <w:szCs w:val="21"/>
          <w:lang w:val="en-US"/>
        </w:rPr>
        <w:t xml:space="preserve"> more than 200,000 printed volumes, 3,000 periodicals, a collection of about 10,000 photographs, and thousands of ephemeral (postcards, tags, advertising blotters, commercial and </w:t>
      </w:r>
      <w:r>
        <w:rPr>
          <w:i/>
          <w:iCs/>
          <w:sz w:val="21"/>
          <w:szCs w:val="21"/>
          <w:lang w:val="en-US"/>
        </w:rPr>
        <w:lastRenderedPageBreak/>
        <w:t xml:space="preserve">flyers). </w:t>
      </w:r>
      <w:r>
        <w:rPr>
          <w:i/>
          <w:iCs/>
          <w:sz w:val="21"/>
          <w:szCs w:val="21"/>
          <w:lang w:val="en-US"/>
        </w:rPr>
        <w:br/>
        <w:t xml:space="preserve">All these documents are not on open access with the exception of a collection called “Maciet Collection”,  , estimated at 1 million pictures and is the treasure, and  the identity of the library. </w:t>
      </w:r>
      <w:r>
        <w:rPr>
          <w:i/>
          <w:iCs/>
          <w:sz w:val="21"/>
          <w:szCs w:val="21"/>
          <w:lang w:val="en-US"/>
        </w:rPr>
        <w:br/>
      </w:r>
      <w:r>
        <w:rPr>
          <w:i/>
          <w:iCs/>
          <w:sz w:val="21"/>
          <w:szCs w:val="21"/>
          <w:lang w:val="en-US"/>
        </w:rPr>
        <w:br/>
      </w:r>
      <w:r>
        <w:rPr>
          <w:b/>
          <w:bCs/>
          <w:i/>
          <w:iCs/>
          <w:color w:val="DC2300"/>
          <w:sz w:val="21"/>
          <w:szCs w:val="21"/>
          <w:lang w:val="en-US"/>
        </w:rPr>
        <w:t>A unique iconographic collection</w:t>
      </w:r>
      <w:r>
        <w:rPr>
          <w:i/>
          <w:iCs/>
          <w:sz w:val="21"/>
          <w:szCs w:val="21"/>
          <w:lang w:val="en-US"/>
        </w:rPr>
        <w:t xml:space="preserve"> </w:t>
      </w:r>
      <w:r>
        <w:rPr>
          <w:i/>
          <w:iCs/>
          <w:sz w:val="21"/>
          <w:szCs w:val="21"/>
          <w:lang w:val="en-US"/>
        </w:rPr>
        <w:br/>
      </w:r>
      <w:r>
        <w:rPr>
          <w:i/>
          <w:iCs/>
          <w:sz w:val="21"/>
          <w:szCs w:val="21"/>
          <w:lang w:val="en-US"/>
        </w:rPr>
        <w:br/>
        <w:t xml:space="preserve">Iconographic collection is the work of a single man, Jules Maciet (1846-1911). This great Art lover and sponsor </w:t>
      </w:r>
      <w:proofErr w:type="gramStart"/>
      <w:r>
        <w:rPr>
          <w:i/>
          <w:iCs/>
          <w:sz w:val="21"/>
          <w:szCs w:val="21"/>
          <w:lang w:val="en-US"/>
        </w:rPr>
        <w:t>is</w:t>
      </w:r>
      <w:proofErr w:type="gramEnd"/>
      <w:r>
        <w:rPr>
          <w:i/>
          <w:iCs/>
          <w:sz w:val="21"/>
          <w:szCs w:val="21"/>
          <w:lang w:val="en-US"/>
        </w:rPr>
        <w:t xml:space="preserve"> aware that in Art the picture is all. He made this collection because he had in mind to offer to artists practical tools: to give artists and artisans a huge repertoire of forms and ornaments from ancient times to contemporary age and representing all cultural eras .. </w:t>
      </w:r>
      <w:r>
        <w:rPr>
          <w:i/>
          <w:iCs/>
          <w:sz w:val="21"/>
          <w:szCs w:val="21"/>
          <w:lang w:val="en-US"/>
        </w:rPr>
        <w:br/>
        <w:t xml:space="preserve">We can say today that the Maciet collection inspired crowds od people, artists and artisans, and seems to be in those times the desire to cover all the know-how of the European world, and for other parts of the world, as China and Japan. </w:t>
      </w:r>
      <w:r>
        <w:rPr>
          <w:i/>
          <w:iCs/>
          <w:sz w:val="21"/>
          <w:szCs w:val="21"/>
          <w:lang w:val="en-US"/>
        </w:rPr>
        <w:br/>
      </w:r>
      <w:r>
        <w:rPr>
          <w:i/>
          <w:iCs/>
          <w:sz w:val="21"/>
          <w:szCs w:val="21"/>
          <w:lang w:val="en-US"/>
        </w:rPr>
        <w:br/>
        <w:t xml:space="preserve">Thus, from 1885 to 1911, Jules Maciet becomes "image hunter" and collects thousands of engravings, photographs, as well as documents from all </w:t>
      </w:r>
      <w:proofErr w:type="gramStart"/>
      <w:r>
        <w:rPr>
          <w:i/>
          <w:iCs/>
          <w:sz w:val="21"/>
          <w:szCs w:val="21"/>
          <w:lang w:val="en-US"/>
        </w:rPr>
        <w:t>sources ,</w:t>
      </w:r>
      <w:proofErr w:type="gramEnd"/>
      <w:r>
        <w:rPr>
          <w:i/>
          <w:iCs/>
          <w:sz w:val="21"/>
          <w:szCs w:val="21"/>
          <w:lang w:val="en-US"/>
        </w:rPr>
        <w:t xml:space="preserve"> catalogs, books and magazines. </w:t>
      </w:r>
    </w:p>
    <w:p>
      <w:pPr>
        <w:pStyle w:val="Standard"/>
        <w:rPr>
          <w:lang w:val="en-US"/>
        </w:rPr>
      </w:pPr>
      <w:r>
        <w:rPr>
          <w:i/>
          <w:iCs/>
          <w:sz w:val="21"/>
          <w:szCs w:val="21"/>
          <w:lang w:val="en-US"/>
        </w:rPr>
        <w:t xml:space="preserve">He cut, sorts and pastes many large albums and </w:t>
      </w:r>
      <w:proofErr w:type="gramStart"/>
      <w:r>
        <w:rPr>
          <w:i/>
          <w:iCs/>
          <w:sz w:val="21"/>
          <w:szCs w:val="21"/>
          <w:lang w:val="en-US"/>
        </w:rPr>
        <w:t>create</w:t>
      </w:r>
      <w:proofErr w:type="gramEnd"/>
      <w:r>
        <w:rPr>
          <w:i/>
          <w:iCs/>
          <w:sz w:val="21"/>
          <w:szCs w:val="21"/>
          <w:lang w:val="en-US"/>
        </w:rPr>
        <w:t xml:space="preserve"> a systematic classification following the encyclopedic spirit of the 19th century. </w:t>
      </w:r>
      <w:r>
        <w:rPr>
          <w:i/>
          <w:iCs/>
          <w:sz w:val="21"/>
          <w:szCs w:val="21"/>
          <w:lang w:val="en-US"/>
        </w:rPr>
        <w:br/>
        <w:t xml:space="preserve">After his death and until 1996, the curtors of the library continued his work in order to supply some series: Fashion, Writing and Printing, Furniture, Gold ... </w:t>
      </w:r>
      <w:r>
        <w:rPr>
          <w:i/>
          <w:iCs/>
          <w:sz w:val="21"/>
          <w:szCs w:val="21"/>
          <w:lang w:val="en-US"/>
        </w:rPr>
        <w:br/>
      </w:r>
      <w:proofErr w:type="spellStart"/>
      <w:proofErr w:type="gramStart"/>
      <w:r>
        <w:rPr>
          <w:i/>
          <w:iCs/>
          <w:sz w:val="21"/>
          <w:szCs w:val="21"/>
        </w:rPr>
        <w:t>Throughout</w:t>
      </w:r>
      <w:proofErr w:type="spellEnd"/>
      <w:r>
        <w:rPr>
          <w:i/>
          <w:iCs/>
          <w:sz w:val="21"/>
          <w:szCs w:val="21"/>
        </w:rPr>
        <w:t xml:space="preserve">  </w:t>
      </w:r>
      <w:proofErr w:type="spellStart"/>
      <w:r>
        <w:rPr>
          <w:i/>
          <w:iCs/>
          <w:sz w:val="21"/>
          <w:szCs w:val="21"/>
        </w:rPr>
        <w:t>several</w:t>
      </w:r>
      <w:proofErr w:type="spellEnd"/>
      <w:proofErr w:type="gramEnd"/>
      <w:r>
        <w:rPr>
          <w:i/>
          <w:iCs/>
          <w:sz w:val="21"/>
          <w:szCs w:val="21"/>
        </w:rPr>
        <w:t xml:space="preserve"> </w:t>
      </w:r>
      <w:proofErr w:type="spellStart"/>
      <w:r>
        <w:rPr>
          <w:i/>
          <w:iCs/>
          <w:sz w:val="21"/>
          <w:szCs w:val="21"/>
        </w:rPr>
        <w:t>systematic</w:t>
      </w:r>
      <w:proofErr w:type="spellEnd"/>
      <w:r>
        <w:rPr>
          <w:i/>
          <w:iCs/>
          <w:sz w:val="21"/>
          <w:szCs w:val="21"/>
        </w:rPr>
        <w:t xml:space="preserve"> </w:t>
      </w:r>
      <w:proofErr w:type="spellStart"/>
      <w:r>
        <w:rPr>
          <w:i/>
          <w:iCs/>
          <w:sz w:val="21"/>
          <w:szCs w:val="21"/>
        </w:rPr>
        <w:t>campaigns</w:t>
      </w:r>
      <w:proofErr w:type="spellEnd"/>
      <w:r>
        <w:rPr>
          <w:i/>
          <w:iCs/>
          <w:sz w:val="21"/>
          <w:szCs w:val="21"/>
        </w:rPr>
        <w:t xml:space="preserve"> of </w:t>
      </w:r>
      <w:proofErr w:type="spellStart"/>
      <w:r>
        <w:rPr>
          <w:i/>
          <w:iCs/>
          <w:sz w:val="21"/>
          <w:szCs w:val="21"/>
        </w:rPr>
        <w:t>digitization</w:t>
      </w:r>
      <w:proofErr w:type="spellEnd"/>
      <w:r>
        <w:rPr>
          <w:i/>
          <w:iCs/>
          <w:sz w:val="21"/>
          <w:szCs w:val="21"/>
        </w:rPr>
        <w:t xml:space="preserve">, over 250 000 images </w:t>
      </w:r>
      <w:proofErr w:type="spellStart"/>
      <w:r>
        <w:rPr>
          <w:i/>
          <w:iCs/>
          <w:sz w:val="21"/>
          <w:szCs w:val="21"/>
        </w:rPr>
        <w:t>from</w:t>
      </w:r>
      <w:proofErr w:type="spellEnd"/>
      <w:r>
        <w:rPr>
          <w:i/>
          <w:iCs/>
          <w:sz w:val="21"/>
          <w:szCs w:val="21"/>
        </w:rPr>
        <w:t xml:space="preserve"> </w:t>
      </w:r>
      <w:proofErr w:type="spellStart"/>
      <w:r>
        <w:rPr>
          <w:i/>
          <w:iCs/>
          <w:sz w:val="21"/>
          <w:szCs w:val="21"/>
        </w:rPr>
        <w:t>this</w:t>
      </w:r>
      <w:proofErr w:type="spellEnd"/>
      <w:r>
        <w:rPr>
          <w:i/>
          <w:iCs/>
          <w:sz w:val="21"/>
          <w:szCs w:val="21"/>
        </w:rPr>
        <w:t xml:space="preserve"> </w:t>
      </w:r>
      <w:proofErr w:type="spellStart"/>
      <w:r>
        <w:rPr>
          <w:i/>
          <w:iCs/>
          <w:sz w:val="21"/>
          <w:szCs w:val="21"/>
        </w:rPr>
        <w:t>huge</w:t>
      </w:r>
      <w:proofErr w:type="spellEnd"/>
      <w:r>
        <w:rPr>
          <w:i/>
          <w:iCs/>
          <w:sz w:val="21"/>
          <w:szCs w:val="21"/>
        </w:rPr>
        <w:t xml:space="preserve"> collection are online </w:t>
      </w:r>
      <w:proofErr w:type="spellStart"/>
      <w:r>
        <w:rPr>
          <w:i/>
          <w:iCs/>
          <w:sz w:val="21"/>
          <w:szCs w:val="21"/>
        </w:rPr>
        <w:t>today</w:t>
      </w:r>
      <w:proofErr w:type="spellEnd"/>
      <w:r>
        <w:rPr>
          <w:i/>
          <w:iCs/>
          <w:sz w:val="21"/>
          <w:szCs w:val="21"/>
        </w:rPr>
        <w:t xml:space="preserve">. </w:t>
      </w:r>
      <w:r>
        <w:rPr>
          <w:i/>
          <w:iCs/>
          <w:sz w:val="21"/>
          <w:szCs w:val="21"/>
        </w:rPr>
        <w:br/>
      </w:r>
      <w:r>
        <w:rPr>
          <w:i/>
          <w:iCs/>
          <w:sz w:val="21"/>
          <w:szCs w:val="21"/>
        </w:rPr>
        <w:br/>
      </w:r>
      <w:r>
        <w:rPr>
          <w:b/>
          <w:bCs/>
          <w:i/>
          <w:iCs/>
          <w:color w:val="DC2300"/>
          <w:sz w:val="21"/>
          <w:szCs w:val="21"/>
          <w:lang w:val="en-US"/>
        </w:rPr>
        <w:t>Extension of the Maciet collection: a new collaborative project</w:t>
      </w:r>
      <w:r>
        <w:rPr>
          <w:i/>
          <w:iCs/>
          <w:sz w:val="21"/>
          <w:szCs w:val="21"/>
          <w:lang w:val="en-US"/>
        </w:rPr>
        <w:br/>
      </w:r>
      <w:r>
        <w:rPr>
          <w:i/>
          <w:iCs/>
          <w:sz w:val="21"/>
          <w:szCs w:val="21"/>
          <w:lang w:val="en-US"/>
        </w:rPr>
        <w:br/>
        <w:t xml:space="preserve">The Library of Decorative Arts has a new goal : to reconnect with its original mission:  collecting, dissiminating, sharing datas .. </w:t>
      </w:r>
      <w:r>
        <w:rPr>
          <w:i/>
          <w:iCs/>
          <w:sz w:val="21"/>
          <w:szCs w:val="21"/>
          <w:lang w:val="en-US"/>
        </w:rPr>
        <w:br/>
        <w:t xml:space="preserve">The Library of Decorative Arts appealed to the public to contribute to the enhancement of this iconographic heritage to expand and widely open the access to this collection. </w:t>
      </w:r>
      <w:r>
        <w:rPr>
          <w:i/>
          <w:iCs/>
          <w:sz w:val="21"/>
          <w:szCs w:val="21"/>
          <w:lang w:val="en-US"/>
        </w:rPr>
        <w:br/>
        <w:t xml:space="preserve">The purpose of this project is to allow the users - anonymous or identified people - to propose elements for indexing documents. This device can be </w:t>
      </w:r>
      <w:proofErr w:type="gramStart"/>
      <w:r>
        <w:rPr>
          <w:i/>
          <w:iCs/>
          <w:sz w:val="21"/>
          <w:szCs w:val="21"/>
          <w:lang w:val="en-US"/>
        </w:rPr>
        <w:t>a  corpus</w:t>
      </w:r>
      <w:proofErr w:type="gramEnd"/>
      <w:r>
        <w:rPr>
          <w:i/>
          <w:iCs/>
          <w:sz w:val="21"/>
          <w:szCs w:val="21"/>
          <w:lang w:val="en-US"/>
        </w:rPr>
        <w:t xml:space="preserve"> of descriptions continuously supplied, in addition to the initial indexing thesaurus of the database, without requiring heavy technical and professionnal support . This corpus provides additional access to data and enriches the records by title, comments or additional documents. </w:t>
      </w:r>
      <w:r>
        <w:rPr>
          <w:i/>
          <w:iCs/>
          <w:sz w:val="21"/>
          <w:szCs w:val="21"/>
          <w:lang w:val="en-US"/>
        </w:rPr>
        <w:br/>
        <w:t xml:space="preserve">Contributions will be enriched with a wiki which will animate the community of contributors by providing </w:t>
      </w:r>
      <w:proofErr w:type="gramStart"/>
      <w:r>
        <w:rPr>
          <w:i/>
          <w:iCs/>
          <w:sz w:val="21"/>
          <w:szCs w:val="21"/>
          <w:lang w:val="en-US"/>
        </w:rPr>
        <w:t>a</w:t>
      </w:r>
      <w:proofErr w:type="gramEnd"/>
      <w:r>
        <w:rPr>
          <w:i/>
          <w:iCs/>
          <w:sz w:val="21"/>
          <w:szCs w:val="21"/>
          <w:lang w:val="en-US"/>
        </w:rPr>
        <w:t xml:space="preserve"> exchange forum for public dialogue and collaborative. They can use the Wiki page to add references to multimedia items (movies, pictures, sounds, links ...). </w:t>
      </w:r>
    </w:p>
    <w:p>
      <w:pPr>
        <w:pStyle w:val="Standard"/>
        <w:jc w:val="both"/>
        <w:rPr>
          <w:lang w:val="en-US"/>
        </w:rPr>
      </w:pPr>
    </w:p>
    <w:p>
      <w:pPr>
        <w:pStyle w:val="Standard"/>
        <w:jc w:val="both"/>
        <w:rPr>
          <w:lang w:val="en-US"/>
        </w:rPr>
      </w:pPr>
      <w:r>
        <w:rPr>
          <w:sz w:val="18"/>
          <w:szCs w:val="18"/>
          <w:lang w:val="en-US"/>
        </w:rPr>
        <w:t xml:space="preserve">This project is supported by Fondation Bettencourt Schueller             </w:t>
      </w:r>
      <w:r>
        <w:rPr>
          <w:noProof/>
          <w:lang w:eastAsia="ja-JP"/>
        </w:rPr>
        <w:drawing>
          <wp:inline distT="0" distB="0" distL="0" distR="0">
            <wp:extent cx="859790" cy="421640"/>
            <wp:effectExtent l="0" t="0" r="0" b="0"/>
            <wp:docPr id="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9"/>
                    <a:srcRect/>
                    <a:stretch>
                      <a:fillRect/>
                    </a:stretch>
                  </pic:blipFill>
                  <pic:spPr bwMode="auto">
                    <a:xfrm>
                      <a:off x="0" y="0"/>
                      <a:ext cx="859790" cy="421640"/>
                    </a:xfrm>
                    <a:prstGeom prst="rect">
                      <a:avLst/>
                    </a:prstGeom>
                    <a:noFill/>
                    <a:ln w="9525">
                      <a:noFill/>
                      <a:miter lim="800000"/>
                      <a:headEnd/>
                      <a:tailEnd/>
                    </a:ln>
                  </pic:spPr>
                </pic:pic>
              </a:graphicData>
            </a:graphic>
          </wp:inline>
        </w:drawing>
      </w:r>
      <w:r>
        <w:rPr>
          <w:sz w:val="18"/>
          <w:szCs w:val="18"/>
          <w:lang w:val="en-US"/>
        </w:rPr>
        <w:t xml:space="preserve">        </w:t>
      </w:r>
    </w:p>
    <w:sectPr>
      <w:headerReference w:type="default" r:id="rId10"/>
      <w:pgSz w:w="11906" w:h="16838"/>
      <w:pgMar w:top="2310" w:right="1417" w:bottom="1417" w:left="1417" w:header="1417" w:footer="0" w:gutter="0"/>
      <w:cols w:space="720"/>
      <w:formProt w:val="0"/>
      <w:docGrid w:linePitch="360" w:charSpace="819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MS Mincho">
    <w:altName w:val="‚l‚r –¾’©"/>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SimSun">
    <w:altName w:val="ËÎÌå"/>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80"/>
    <w:family w:val="swiss"/>
    <w:pitch w:val="default"/>
    <w:sig w:usb0="00000001" w:usb1="08070000" w:usb2="00000010" w:usb3="00000000" w:csb0="0002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MT">
    <w:altName w:val="Times New Roman"/>
    <w:charset w:val="00"/>
    <w:family w:val="swiss"/>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rPr>
        <w:lang w:val="en-US"/>
      </w:rPr>
    </w:pPr>
    <w:r>
      <w:rPr>
        <w:rFonts w:ascii="ArialMT" w:eastAsia="ArialMT" w:hAnsi="ArialMT" w:cs="ArialMT"/>
        <w:b/>
        <w:bCs/>
        <w:i/>
        <w:iCs/>
        <w:color w:val="0000FF"/>
        <w:sz w:val="20"/>
        <w:szCs w:val="20"/>
        <w:lang w:val="en-US"/>
      </w:rPr>
      <w:t>Art Libraries Meet the Challenges of E</w:t>
    </w:r>
    <w:r>
      <w:rPr>
        <w:rFonts w:eastAsia="Calibri" w:cs="Calibri"/>
        <w:b/>
        <w:bCs/>
        <w:i/>
        <w:iCs/>
        <w:color w:val="0000FF"/>
        <w:sz w:val="20"/>
        <w:szCs w:val="20"/>
        <w:lang w:val="en-US"/>
      </w:rPr>
      <w:t>‐</w:t>
    </w:r>
    <w:r>
      <w:rPr>
        <w:rFonts w:ascii="ArialMT" w:eastAsia="ArialMT" w:hAnsi="ArialMT" w:cs="ArialMT"/>
        <w:b/>
        <w:bCs/>
        <w:i/>
        <w:iCs/>
        <w:color w:val="0000FF"/>
        <w:sz w:val="20"/>
        <w:szCs w:val="20"/>
        <w:lang w:val="en-US"/>
      </w:rPr>
      <w:t>publishing: New Formats, New Players, New Solutions-</w:t>
    </w:r>
    <w:r>
      <w:rPr>
        <w:rFonts w:ascii="ArialMT" w:eastAsia="ArialMT" w:hAnsi="ArialMT" w:cs="ArialMT"/>
        <w:i/>
        <w:iCs/>
        <w:color w:val="0000FF"/>
        <w:sz w:val="24"/>
        <w:szCs w:val="28"/>
        <w:lang w:val="en-US"/>
      </w:rPr>
      <w:t xml:space="preserve"> </w:t>
    </w:r>
    <w:r>
      <w:rPr>
        <w:rFonts w:ascii="ArialMT" w:eastAsia="ArialMT" w:hAnsi="ArialMT" w:cs="ArialMT"/>
        <w:i/>
        <w:iCs/>
        <w:color w:val="0000FF"/>
        <w:lang w:val="en-US"/>
      </w:rPr>
      <w:t>Paris</w:t>
    </w:r>
    <w:proofErr w:type="gramStart"/>
    <w:r>
      <w:rPr>
        <w:rFonts w:ascii="ArialMT" w:eastAsia="ArialMT" w:hAnsi="ArialMT" w:cs="ArialMT"/>
        <w:i/>
        <w:iCs/>
        <w:color w:val="0000FF"/>
        <w:lang w:val="en-US"/>
      </w:rPr>
      <w:t>,INHA,12</w:t>
    </w:r>
    <w:proofErr w:type="gramEnd"/>
    <w:r>
      <w:rPr>
        <w:rFonts w:ascii="ArialMT" w:eastAsia="ArialMT" w:hAnsi="ArialMT" w:cs="ArialMT"/>
        <w:i/>
        <w:iCs/>
        <w:color w:val="0000FF"/>
        <w:lang w:val="en-US"/>
      </w:rPr>
      <w:t>.-14.08.2014</w:t>
    </w:r>
  </w:p>
  <w:p>
    <w:pPr>
      <w:pStyle w:val="Standard"/>
      <w:rPr>
        <w:lang w:val="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pPr>
      <w:tabs>
        <w:tab w:val="left" w:pos="708"/>
      </w:tabs>
      <w:suppressAutoHyphens/>
    </w:pPr>
    <w:rPr>
      <w:rFonts w:ascii="Calibri" w:eastAsia="SimSun" w:hAnsi="Calibri" w:cs="Calibri"/>
      <w:color w:val="00000A"/>
      <w:lang w:eastAsia="en-US"/>
    </w:rPr>
  </w:style>
  <w:style w:type="character" w:customStyle="1" w:styleId="TextedebullesCar">
    <w:name w:val="Texte de bulles Car"/>
    <w:basedOn w:val="Policepardfaut"/>
    <w:rPr>
      <w:rFonts w:ascii="Tahoma" w:hAnsi="Tahoma" w:cs="Tahoma"/>
      <w:sz w:val="16"/>
      <w:szCs w:val="16"/>
    </w:rPr>
  </w:style>
  <w:style w:type="paragraph" w:styleId="Titre">
    <w:name w:val="Title"/>
    <w:basedOn w:val="Standard"/>
    <w:next w:val="Corpsdetexte"/>
    <w:pPr>
      <w:keepNext/>
      <w:spacing w:before="240" w:after="120"/>
    </w:pPr>
    <w:rPr>
      <w:rFonts w:ascii="Liberation Sans" w:eastAsia="Microsoft YaHei" w:hAnsi="Liberation Sans" w:cs="Mangal"/>
      <w:sz w:val="28"/>
      <w:szCs w:val="28"/>
    </w:rPr>
  </w:style>
  <w:style w:type="paragraph" w:styleId="Corpsdetexte">
    <w:name w:val="Body Text"/>
    <w:basedOn w:val="Standard"/>
    <w:pPr>
      <w:spacing w:after="120"/>
    </w:pPr>
  </w:style>
  <w:style w:type="paragraph" w:styleId="Liste">
    <w:name w:val="List"/>
    <w:basedOn w:val="Corpsdetexte"/>
    <w:rPr>
      <w:rFonts w:ascii="Liberation Sans" w:hAnsi="Liberation Sans" w:cs="Mangal"/>
    </w:rPr>
  </w:style>
  <w:style w:type="paragraph" w:styleId="Lgende">
    <w:name w:val="caption"/>
    <w:basedOn w:val="Standard"/>
    <w:pPr>
      <w:suppressLineNumbers/>
      <w:spacing w:before="120" w:after="120"/>
    </w:pPr>
    <w:rPr>
      <w:rFonts w:ascii="Liberation Sans" w:hAnsi="Liberation Sans" w:cs="Mangal"/>
      <w:i/>
      <w:iCs/>
      <w:sz w:val="24"/>
      <w:szCs w:val="24"/>
    </w:rPr>
  </w:style>
  <w:style w:type="paragraph" w:customStyle="1" w:styleId="Index">
    <w:name w:val="Index"/>
    <w:basedOn w:val="Standard"/>
    <w:pPr>
      <w:suppressLineNumbers/>
    </w:pPr>
    <w:rPr>
      <w:rFonts w:ascii="Liberation Sans" w:hAnsi="Liberation Sans" w:cs="Mangal"/>
    </w:rPr>
  </w:style>
  <w:style w:type="paragraph" w:styleId="Textedebulles">
    <w:name w:val="Balloon Text"/>
    <w:basedOn w:val="Standard"/>
    <w:pPr>
      <w:spacing w:after="0" w:line="100" w:lineRule="atLeast"/>
    </w:pPr>
    <w:rPr>
      <w:rFonts w:ascii="Tahoma" w:hAnsi="Tahoma" w:cs="Tahoma"/>
      <w:sz w:val="16"/>
      <w:szCs w:val="16"/>
    </w:rPr>
  </w:style>
  <w:style w:type="paragraph" w:styleId="En-tte">
    <w:name w:val="header"/>
    <w:basedOn w:val="Standard"/>
    <w:pPr>
      <w:suppressLineNumbers/>
      <w:tabs>
        <w:tab w:val="center" w:pos="4536"/>
        <w:tab w:val="right" w:pos="9072"/>
      </w:tabs>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pPr>
      <w:tabs>
        <w:tab w:val="left" w:pos="708"/>
      </w:tabs>
      <w:suppressAutoHyphens/>
    </w:pPr>
    <w:rPr>
      <w:rFonts w:ascii="Calibri" w:eastAsia="SimSun" w:hAnsi="Calibri" w:cs="Calibri"/>
      <w:color w:val="00000A"/>
      <w:lang w:eastAsia="en-US"/>
    </w:rPr>
  </w:style>
  <w:style w:type="character" w:customStyle="1" w:styleId="TextedebullesCar">
    <w:name w:val="Texte de bulles Car"/>
    <w:basedOn w:val="Policepardfaut"/>
    <w:rPr>
      <w:rFonts w:ascii="Tahoma" w:hAnsi="Tahoma" w:cs="Tahoma"/>
      <w:sz w:val="16"/>
      <w:szCs w:val="16"/>
    </w:rPr>
  </w:style>
  <w:style w:type="paragraph" w:styleId="Titre">
    <w:name w:val="Title"/>
    <w:basedOn w:val="Standard"/>
    <w:next w:val="Corpsdetexte"/>
    <w:pPr>
      <w:keepNext/>
      <w:spacing w:before="240" w:after="120"/>
    </w:pPr>
    <w:rPr>
      <w:rFonts w:ascii="Liberation Sans" w:eastAsia="Microsoft YaHei" w:hAnsi="Liberation Sans" w:cs="Mangal"/>
      <w:sz w:val="28"/>
      <w:szCs w:val="28"/>
    </w:rPr>
  </w:style>
  <w:style w:type="paragraph" w:styleId="Corpsdetexte">
    <w:name w:val="Body Text"/>
    <w:basedOn w:val="Standard"/>
    <w:pPr>
      <w:spacing w:after="120"/>
    </w:pPr>
  </w:style>
  <w:style w:type="paragraph" w:styleId="Liste">
    <w:name w:val="List"/>
    <w:basedOn w:val="Corpsdetexte"/>
    <w:rPr>
      <w:rFonts w:ascii="Liberation Sans" w:hAnsi="Liberation Sans" w:cs="Mangal"/>
    </w:rPr>
  </w:style>
  <w:style w:type="paragraph" w:styleId="Lgende">
    <w:name w:val="caption"/>
    <w:basedOn w:val="Standard"/>
    <w:pPr>
      <w:suppressLineNumbers/>
      <w:spacing w:before="120" w:after="120"/>
    </w:pPr>
    <w:rPr>
      <w:rFonts w:ascii="Liberation Sans" w:hAnsi="Liberation Sans" w:cs="Mangal"/>
      <w:i/>
      <w:iCs/>
      <w:sz w:val="24"/>
      <w:szCs w:val="24"/>
    </w:rPr>
  </w:style>
  <w:style w:type="paragraph" w:customStyle="1" w:styleId="Index">
    <w:name w:val="Index"/>
    <w:basedOn w:val="Standard"/>
    <w:pPr>
      <w:suppressLineNumbers/>
    </w:pPr>
    <w:rPr>
      <w:rFonts w:ascii="Liberation Sans" w:hAnsi="Liberation Sans" w:cs="Mangal"/>
    </w:rPr>
  </w:style>
  <w:style w:type="paragraph" w:styleId="Textedebulles">
    <w:name w:val="Balloon Text"/>
    <w:basedOn w:val="Standard"/>
    <w:pPr>
      <w:spacing w:after="0" w:line="100" w:lineRule="atLeast"/>
    </w:pPr>
    <w:rPr>
      <w:rFonts w:ascii="Tahoma" w:hAnsi="Tahoma" w:cs="Tahoma"/>
      <w:sz w:val="16"/>
      <w:szCs w:val="16"/>
    </w:rPr>
  </w:style>
  <w:style w:type="paragraph" w:styleId="En-tte">
    <w:name w:val="header"/>
    <w:basedOn w:val="Standard"/>
    <w:pPr>
      <w:suppressLineNumbers/>
      <w:tabs>
        <w:tab w:val="center" w:pos="4536"/>
        <w:tab w:val="right" w:pos="9072"/>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1145</Words>
  <Characters>6299</Characters>
  <Application>Microsoft Office Word</Application>
  <DocSecurity>0</DocSecurity>
  <Lines>52</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Chantal Lachkar</dc:creator>
  <cp:lastModifiedBy>INSTITUT NATIONAL D'HISTOIRE DE L'ART</cp:lastModifiedBy>
  <cp:revision>2</cp:revision>
  <cp:lastPrinted>2014-08-04T13:38:00Z</cp:lastPrinted>
  <dcterms:created xsi:type="dcterms:W3CDTF">2014-08-05T15:12:00Z</dcterms:created>
  <dcterms:modified xsi:type="dcterms:W3CDTF">2014-08-05T15:12:00Z</dcterms:modified>
</cp:coreProperties>
</file>